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2250 lm, Fluxo luminoso específico: 107 lm/W. Potência: 21.0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Softlight (Luz suave) para distribuição de luz sem encandeamento com UGR &lt;= 19 e luminâncias @ @ 65° 3000 Cd/m² cd/m² estão em conformidade com a norma EN 12464-1 para exigências visuais elevadas, por exemplo, locais com display/ecrans.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