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4000 lm, Flujo luminoso específico: 153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