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4800 lm, Flujo luminoso específico: 155 lm/W. Consumo de energía: 30.9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