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4900 lm, Flujo luminoso específico: 130 lm/W. Consumo de energía: 37.8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