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200 lm, Flujo luminoso específico: 125 lm/W. Consumo de energía: 89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