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8350 lm, Flujo luminoso específico: 140 lm/W. Consumo de energía: 59.5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