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9600 lm, Efficacité lumineuse: 136 lm/W. Consommation de courant: 70.4 W, DALI gradable. Fréquence: 50-60Hz AC. Tension: 220-240V. Classe d'isolation: classe I.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