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4100 lm, Flujo luminoso específico: 146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