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8250 lm, Efficacité lumineuse: 148 lm/W. Consommation de courant: 55.7 W, DALI gradable. Fréquence: 50-60Hz AC. Tension: 220-240V. Classe d'isolation: classe I. Température de couleur: 4000 K, Rendu des couleurs ra: 80. Tolérance de localisation chromatique (initialement MacAdam): ≤ SDCM. Lentille protégée pour une distribution lumineuse sans éblouissement avec UGR &lt;= 16 et luminances @ 65° 1500 Cd/m² cd/m² conforme à la norme EN 12464-1 pour des exigences visuelles très élevées, z.g. contrôle qualité, tâche de précision.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