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7900 lm, Flujo luminoso específico: 142 lm/W. Consumo de energía: 55.7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