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7850 lm, Flujo luminoso específico: 127 lm/W. Consumo de energía: 61.6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